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28"/>
        </w:rPr>
      </w:pPr>
      <w:r>
        <w:rPr>
          <w:rFonts w:hint="eastAsia" w:ascii="Times New Roman" w:hAnsi="Times New Roman" w:eastAsia="方正小标宋简体"/>
          <w:sz w:val="36"/>
          <w:szCs w:val="44"/>
        </w:rPr>
        <w:t>第二批国家级</w:t>
      </w:r>
      <w:r>
        <w:rPr>
          <w:rFonts w:ascii="Times New Roman" w:hAnsi="Times New Roman" w:eastAsia="方正小标宋简体"/>
          <w:sz w:val="36"/>
          <w:szCs w:val="44"/>
        </w:rPr>
        <w:t>一流本科课程推荐名额分配表</w:t>
      </w:r>
    </w:p>
    <w:tbl>
      <w:tblPr>
        <w:tblStyle w:val="2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291"/>
        <w:gridCol w:w="2041"/>
        <w:gridCol w:w="133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推荐线下、线上线下混合式、社会实践一流课程门数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推荐线上一流课程门数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虚拟仿真实验一流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课程门数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中国美术学院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杭州电子科技大学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浙江工商大学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中国计量大学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浙江中医药大学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浙江海洋大学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浙江农林大学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浙江财经大学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浙江科技学院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浙江传媒学院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嘉兴学院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浙江外国语学院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浙江万里学院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浙江树人学院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衢州学院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绍兴文理学院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湖州师范学院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台州学院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宁波诺丁汉大学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温州肯恩大学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浙江警察学院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浙江越秀外国语学院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宁波财经学院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浙江水利水电学院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浙江音乐学院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杭州医学院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温州商学院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浙大城市学院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浙大宁波理工学院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嘉兴南湖学院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温州理工学院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湖州学院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同济大学浙江学院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上海财经大学浙江学院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浙江工业大学之江学院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浙江师范大学行知学院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宁波大学科学技术学院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杭州电子科技大学信息工程学院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浙江理工大学科技与艺术学院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浙江工商大学杭州商学院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浙江海洋大学东海科学技术学院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浙江农林大学暨阳学院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温州医科大学仁济学院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浙江中医药大学滨江学院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杭州师范大学钱江学院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绍兴文理学院元培学院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中国计量大学现代科技学院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浙江财经大学东方学院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673"/>
    <w:rsid w:val="43B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2021-04-25T10:37:00Z</dcterms:created>
  <dc:creator>燕子</dc:creator>
  <cp:lastModifiedBy>燕子</cp:lastModifiedBy>
  <dcterms:modified xsi:type="dcterms:W3CDTF">2021-04-25T10:38:16Z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56B24B2ACF06472B9D697178F168428F</vt:lpwstr>
  </property>
</Properties>
</file>